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FB8" w:rsidRPr="00AE035D" w:rsidRDefault="00562FB8" w:rsidP="00AE035D">
      <w:pPr>
        <w:spacing w:line="360" w:lineRule="atLeast"/>
        <w:ind w:firstLine="720"/>
        <w:jc w:val="center"/>
        <w:rPr>
          <w:b/>
          <w:color w:val="002060"/>
        </w:rPr>
      </w:pPr>
      <w:bookmarkStart w:id="0" w:name="_Toc229806463"/>
      <w:r w:rsidRPr="00AE035D">
        <w:rPr>
          <w:b/>
          <w:color w:val="002060"/>
        </w:rPr>
        <w:t>PHỤ LỤC 06</w:t>
      </w:r>
    </w:p>
    <w:p w:rsidR="00562FB8" w:rsidRPr="00AE035D" w:rsidRDefault="00562FB8" w:rsidP="00AE035D">
      <w:pPr>
        <w:spacing w:line="360" w:lineRule="atLeast"/>
        <w:ind w:firstLine="720"/>
        <w:jc w:val="center"/>
        <w:rPr>
          <w:b/>
          <w:color w:val="002060"/>
        </w:rPr>
      </w:pPr>
      <w:r w:rsidRPr="00AE035D">
        <w:rPr>
          <w:b/>
          <w:color w:val="002060"/>
        </w:rPr>
        <w:t>HƯỚNG DẪN CHI TIẾT NỘI DUNG, PHƯƠNG PHÁP, THỦ TỤC</w:t>
      </w:r>
    </w:p>
    <w:p w:rsidR="00562FB8" w:rsidRPr="00AE035D" w:rsidRDefault="00562FB8" w:rsidP="00AE035D">
      <w:pPr>
        <w:spacing w:line="360" w:lineRule="atLeast"/>
        <w:ind w:firstLine="720"/>
        <w:jc w:val="center"/>
        <w:rPr>
          <w:b/>
          <w:color w:val="002060"/>
          <w:lang w:val="pt-BR"/>
        </w:rPr>
      </w:pPr>
      <w:r w:rsidRPr="00AE035D">
        <w:rPr>
          <w:b/>
          <w:color w:val="002060"/>
        </w:rPr>
        <w:t xml:space="preserve"> KIỂM TOÁN</w:t>
      </w:r>
      <w:r w:rsidRPr="00AE035D">
        <w:rPr>
          <w:b/>
          <w:color w:val="002060"/>
          <w:lang w:val="pt-BR"/>
        </w:rPr>
        <w:t xml:space="preserve"> ĐỐI VỚI MỘT SỐ HOẠT ĐỘNG </w:t>
      </w:r>
    </w:p>
    <w:p w:rsidR="00562FB8" w:rsidRPr="00AE035D" w:rsidRDefault="00562FB8" w:rsidP="00AE035D">
      <w:pPr>
        <w:spacing w:line="360" w:lineRule="atLeast"/>
        <w:ind w:firstLine="720"/>
        <w:jc w:val="center"/>
        <w:rPr>
          <w:b/>
          <w:color w:val="002060"/>
          <w:lang w:val="pt-BR"/>
        </w:rPr>
      </w:pPr>
      <w:r w:rsidRPr="00AE035D">
        <w:rPr>
          <w:b/>
          <w:color w:val="002060"/>
          <w:lang w:val="pt-BR"/>
        </w:rPr>
        <w:t xml:space="preserve">CỦA BẢO HIỂM TIỀN GỬI VIỆT NAM </w:t>
      </w:r>
    </w:p>
    <w:p w:rsidR="00562FB8" w:rsidRPr="00AE035D" w:rsidRDefault="00562FB8" w:rsidP="00AE035D">
      <w:pPr>
        <w:spacing w:line="360" w:lineRule="atLeast"/>
        <w:ind w:firstLine="720"/>
        <w:jc w:val="center"/>
        <w:rPr>
          <w:i/>
          <w:color w:val="002060"/>
        </w:rPr>
      </w:pPr>
      <w:r w:rsidRPr="00AE035D">
        <w:rPr>
          <w:i/>
          <w:color w:val="002060"/>
        </w:rPr>
        <w:t xml:space="preserve">(Kèm theo Quyết định số        QĐ-KTNN ngày       tháng    năm  </w:t>
      </w:r>
    </w:p>
    <w:p w:rsidR="00562FB8" w:rsidRPr="00AE035D" w:rsidRDefault="00562FB8" w:rsidP="00AE035D">
      <w:pPr>
        <w:spacing w:line="360" w:lineRule="atLeast"/>
        <w:ind w:firstLine="720"/>
        <w:jc w:val="center"/>
        <w:rPr>
          <w:i/>
          <w:color w:val="002060"/>
        </w:rPr>
      </w:pPr>
      <w:r w:rsidRPr="00AE035D">
        <w:rPr>
          <w:i/>
          <w:color w:val="002060"/>
        </w:rPr>
        <w:t>của Tổng Kiểm toán Nhà nước)</w:t>
      </w:r>
    </w:p>
    <w:p w:rsidR="00562FB8" w:rsidRPr="00AE035D" w:rsidRDefault="00562FB8" w:rsidP="00AE035D">
      <w:pPr>
        <w:spacing w:line="360" w:lineRule="atLeast"/>
        <w:ind w:firstLine="720"/>
        <w:jc w:val="center"/>
        <w:rPr>
          <w:color w:val="002060"/>
        </w:rPr>
      </w:pPr>
      <w:r w:rsidRPr="00AE035D">
        <w:rPr>
          <w:noProof/>
          <w:color w:val="002060"/>
        </w:rPr>
        <mc:AlternateContent>
          <mc:Choice Requires="wps">
            <w:drawing>
              <wp:anchor distT="0" distB="0" distL="114300" distR="114300" simplePos="0" relativeHeight="251659264" behindDoc="0" locked="0" layoutInCell="1" allowOverlap="1" wp14:anchorId="4D0DFED5" wp14:editId="2CF5FEA2">
                <wp:simplePos x="0" y="0"/>
                <wp:positionH relativeFrom="column">
                  <wp:posOffset>2057400</wp:posOffset>
                </wp:positionH>
                <wp:positionV relativeFrom="paragraph">
                  <wp:posOffset>88900</wp:posOffset>
                </wp:positionV>
                <wp:extent cx="2057400" cy="0"/>
                <wp:effectExtent l="9525" t="12700" r="952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pt" to="3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s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eQpT6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"/>
            </w:pict>
          </mc:Fallback>
        </mc:AlternateContent>
      </w:r>
    </w:p>
    <w:p w:rsidR="00562FB8" w:rsidRPr="00AE035D" w:rsidRDefault="00562FB8" w:rsidP="00AE035D">
      <w:pPr>
        <w:spacing w:line="360" w:lineRule="atLeast"/>
        <w:ind w:firstLine="720"/>
        <w:jc w:val="both"/>
        <w:rPr>
          <w:color w:val="002060"/>
          <w:lang w:val="pt-BR"/>
        </w:rPr>
      </w:pPr>
      <w:r w:rsidRPr="00AE035D">
        <w:rPr>
          <w:color w:val="002060"/>
          <w:lang w:val="pt-BR"/>
        </w:rPr>
        <w:t xml:space="preserve">        </w:t>
      </w:r>
      <w:r w:rsidRPr="00AE035D">
        <w:rPr>
          <w:color w:val="002060"/>
          <w:lang w:val="pt-BR"/>
        </w:rPr>
        <w:tab/>
        <w:t>Phụ lục này hướng dẫn một số thủ tục kiểm toán các hoạt động đặc thù như hoạt động đầu tư, hỗ trợ và chi trả bảo hiểm, thu phí bảo hiểm của BHTG.</w:t>
      </w:r>
    </w:p>
    <w:bookmarkEnd w:id="0"/>
    <w:p w:rsidR="00562FB8" w:rsidRPr="00AE035D" w:rsidRDefault="00562FB8" w:rsidP="00AE035D">
      <w:pPr>
        <w:spacing w:line="360" w:lineRule="atLeast"/>
        <w:ind w:firstLine="720"/>
        <w:jc w:val="both"/>
        <w:rPr>
          <w:b/>
          <w:color w:val="002060"/>
        </w:rPr>
      </w:pPr>
      <w:r w:rsidRPr="00AE035D">
        <w:rPr>
          <w:b/>
          <w:color w:val="002060"/>
        </w:rPr>
        <w:t xml:space="preserve">1. Kiểm toán thu phí bảo hiểm </w:t>
      </w:r>
      <w:bookmarkStart w:id="1" w:name="_GoBack"/>
      <w:bookmarkEnd w:id="1"/>
    </w:p>
    <w:p w:rsidR="00562FB8" w:rsidRPr="00AE035D" w:rsidRDefault="00562FB8" w:rsidP="00AE035D">
      <w:pPr>
        <w:spacing w:line="360" w:lineRule="atLeast"/>
        <w:ind w:firstLine="720"/>
        <w:jc w:val="both"/>
        <w:rPr>
          <w:b/>
          <w:i/>
          <w:color w:val="002060"/>
        </w:rPr>
      </w:pPr>
      <w:r w:rsidRPr="00AE035D">
        <w:rPr>
          <w:b/>
          <w:i/>
          <w:color w:val="002060"/>
        </w:rPr>
        <w:t>1.1 Mục tiêu kiểm toán</w:t>
      </w:r>
    </w:p>
    <w:p w:rsidR="00562FB8" w:rsidRPr="00AE035D" w:rsidRDefault="00562FB8" w:rsidP="00AE035D">
      <w:pPr>
        <w:spacing w:line="360" w:lineRule="atLeast"/>
        <w:ind w:firstLine="720"/>
        <w:jc w:val="both"/>
        <w:rPr>
          <w:color w:val="002060"/>
        </w:rPr>
      </w:pPr>
      <w:r w:rsidRPr="00AE035D">
        <w:rPr>
          <w:color w:val="002060"/>
        </w:rPr>
        <w:t>Việc thu phí BHTG nhằm tạo lập Quỹ dự phòng nghiệp vụ, nhằm đáp ứng yêu cầu chi trả một phần (hoặc toàn bộ) cho người gửi tiền khi tổ chức nhận tiền gửi bị chấm dứt hoạt động.</w:t>
      </w:r>
    </w:p>
    <w:p w:rsidR="00562FB8" w:rsidRPr="00AE035D" w:rsidRDefault="00562FB8" w:rsidP="00AE035D">
      <w:pPr>
        <w:spacing w:line="360" w:lineRule="atLeast"/>
        <w:ind w:firstLine="720"/>
        <w:jc w:val="both"/>
        <w:rPr>
          <w:color w:val="002060"/>
        </w:rPr>
      </w:pPr>
      <w:r w:rsidRPr="00AE035D">
        <w:rPr>
          <w:color w:val="002060"/>
        </w:rPr>
        <w:t xml:space="preserve">- Đánh giá công tác giám sát và thu phí BHTG đối với các tổ chức nhận tiền gửi tham gia BHTG theo quy định. Kiểm tra việc tham gia đầy đủ của các tổ chức nhận tiền gửi đang hoạt động trên lãnh thổ Việt </w:t>
      </w:r>
      <w:smartTag w:uri="urn:schemas-microsoft-com:office:smarttags" w:element="place">
        <w:smartTag w:uri="urn:schemas-microsoft-com:office:smarttags" w:element="country-region">
          <w:r w:rsidRPr="00AE035D">
            <w:rPr>
              <w:color w:val="002060"/>
            </w:rPr>
            <w:t>Nam</w:t>
          </w:r>
        </w:smartTag>
      </w:smartTag>
      <w:r w:rsidRPr="00AE035D">
        <w:rPr>
          <w:color w:val="002060"/>
        </w:rPr>
        <w:t xml:space="preserve"> phải tham gia BHTG theo quy định của Nhà nước.</w:t>
      </w:r>
    </w:p>
    <w:p w:rsidR="00562FB8" w:rsidRPr="00AE035D" w:rsidRDefault="00562FB8" w:rsidP="00AE035D">
      <w:pPr>
        <w:spacing w:line="360" w:lineRule="atLeast"/>
        <w:ind w:firstLine="720"/>
        <w:jc w:val="both"/>
        <w:rPr>
          <w:color w:val="002060"/>
        </w:rPr>
      </w:pPr>
      <w:r w:rsidRPr="00AE035D">
        <w:rPr>
          <w:color w:val="002060"/>
        </w:rPr>
        <w:t>- Đánh giá việc tuân thủ các quy định (loại tiền gửi của tổ chức nhận tiền gửi phải nộp phí bảo hiểm, mức phí bảo hiểm, thời gian tính phí, thời điểm nộp phí,….) của Nhà nước về thu phí BHTG.</w:t>
      </w:r>
    </w:p>
    <w:p w:rsidR="00562FB8" w:rsidRPr="00AE035D" w:rsidRDefault="00562FB8" w:rsidP="00AE035D">
      <w:pPr>
        <w:spacing w:line="360" w:lineRule="atLeast"/>
        <w:ind w:firstLine="720"/>
        <w:jc w:val="both"/>
        <w:rPr>
          <w:color w:val="002060"/>
        </w:rPr>
      </w:pPr>
      <w:r w:rsidRPr="00AE035D">
        <w:rPr>
          <w:color w:val="002060"/>
        </w:rPr>
        <w:t xml:space="preserve">- Đánh giá công tác thực hiện thu phí BHTG (tính đầy đủ, kịp thời và chính xác của các khoản phí BHTG). </w:t>
      </w:r>
    </w:p>
    <w:p w:rsidR="00562FB8" w:rsidRPr="00AE035D" w:rsidRDefault="00562FB8" w:rsidP="00AE035D">
      <w:pPr>
        <w:spacing w:line="360" w:lineRule="atLeast"/>
        <w:ind w:firstLine="720"/>
        <w:jc w:val="both"/>
        <w:rPr>
          <w:b/>
          <w:i/>
          <w:color w:val="002060"/>
        </w:rPr>
      </w:pPr>
      <w:r w:rsidRPr="00AE035D">
        <w:rPr>
          <w:b/>
          <w:i/>
          <w:color w:val="002060"/>
        </w:rPr>
        <w:t>1.2 Nội dung kiểm toán</w:t>
      </w:r>
    </w:p>
    <w:p w:rsidR="00562FB8" w:rsidRPr="00AE035D" w:rsidRDefault="00562FB8" w:rsidP="00AE035D">
      <w:pPr>
        <w:spacing w:line="360" w:lineRule="atLeast"/>
        <w:ind w:firstLine="720"/>
        <w:jc w:val="both"/>
        <w:rPr>
          <w:color w:val="002060"/>
        </w:rPr>
      </w:pPr>
      <w:r w:rsidRPr="00AE035D">
        <w:rPr>
          <w:color w:val="002060"/>
        </w:rPr>
        <w:t>- Kiểm tra tính đầy đủ đối với các tổ chức nhận tiền gửi phải tham gia BHTG theo quy định của Nhà nước;</w:t>
      </w:r>
    </w:p>
    <w:p w:rsidR="00562FB8" w:rsidRPr="00AE035D" w:rsidRDefault="00562FB8" w:rsidP="00AE035D">
      <w:pPr>
        <w:spacing w:line="360" w:lineRule="atLeast"/>
        <w:ind w:firstLine="720"/>
        <w:jc w:val="both"/>
        <w:rPr>
          <w:color w:val="002060"/>
        </w:rPr>
      </w:pPr>
      <w:r w:rsidRPr="00AE035D">
        <w:rPr>
          <w:color w:val="002060"/>
        </w:rPr>
        <w:t>- Kiểm tra việc tính toán phí BHTG phải nộp theo quy định của Nhà nước đối với các tổ chức nhận tiền gửi tham gia BHTG;</w:t>
      </w:r>
    </w:p>
    <w:p w:rsidR="00562FB8" w:rsidRPr="00AE035D" w:rsidRDefault="00562FB8" w:rsidP="00AE035D">
      <w:pPr>
        <w:spacing w:line="360" w:lineRule="atLeast"/>
        <w:ind w:firstLine="720"/>
        <w:jc w:val="both"/>
        <w:rPr>
          <w:color w:val="002060"/>
        </w:rPr>
      </w:pPr>
      <w:r w:rsidRPr="00AE035D">
        <w:rPr>
          <w:color w:val="002060"/>
        </w:rPr>
        <w:t>- Kiểm tra việc thu phí BHTG có được thực hiện và giám sát một cách chặt chẽ không? Cách tính phí bảo hiểm, phương pháp thu phí, có hay không tình trạng đến kỳ không thực hiện nộp phí,  không đảm bảo thực hiện nghĩa vụ đối với BHTG của các tổ chức nhận tiền gửi tham gia BHTG.</w:t>
      </w:r>
    </w:p>
    <w:p w:rsidR="00562FB8" w:rsidRPr="00AE035D" w:rsidRDefault="00562FB8" w:rsidP="00AE035D">
      <w:pPr>
        <w:spacing w:line="360" w:lineRule="atLeast"/>
        <w:ind w:firstLine="720"/>
        <w:jc w:val="both"/>
        <w:rPr>
          <w:b/>
          <w:i/>
          <w:color w:val="002060"/>
        </w:rPr>
      </w:pPr>
      <w:r w:rsidRPr="00AE035D">
        <w:rPr>
          <w:b/>
          <w:i/>
          <w:color w:val="002060"/>
        </w:rPr>
        <w:t>1.3 Phương pháp kiểm toán</w:t>
      </w:r>
      <w:r w:rsidRPr="00AE035D">
        <w:rPr>
          <w:b/>
          <w:i/>
          <w:color w:val="002060"/>
        </w:rPr>
        <w:tab/>
      </w:r>
    </w:p>
    <w:p w:rsidR="00562FB8" w:rsidRPr="00AE035D" w:rsidRDefault="00562FB8" w:rsidP="00AE035D">
      <w:pPr>
        <w:spacing w:line="360" w:lineRule="atLeast"/>
        <w:ind w:firstLine="720"/>
        <w:jc w:val="both"/>
        <w:rPr>
          <w:color w:val="002060"/>
        </w:rPr>
      </w:pPr>
      <w:r w:rsidRPr="00AE035D">
        <w:rPr>
          <w:color w:val="002060"/>
        </w:rPr>
        <w:t xml:space="preserve">- Kiểm tra, đối chiếu danh sách các tổ chức nhận tiền gửi đang hoạt động trên lãnh thổ Việt Nam do BHTG cung cấp với dữ liệu do NHNN quản lý (lấy thông tin này trên trang Web của NHNN hoặc liên hệ trực tiếp với NHNN - Cơ quan thanh tra </w:t>
      </w:r>
      <w:r w:rsidRPr="00AE035D">
        <w:rPr>
          <w:color w:val="002060"/>
        </w:rPr>
        <w:lastRenderedPageBreak/>
        <w:t>giám sát) trong niên độ BCTC được kiểm toán; xác định tính đầy đủ của các tổ chức nhận tiền gửi tham gia BHTG theo quy định của Nhà nước;</w:t>
      </w:r>
    </w:p>
    <w:p w:rsidR="00562FB8" w:rsidRPr="00AE035D" w:rsidRDefault="00562FB8" w:rsidP="00AE035D">
      <w:pPr>
        <w:spacing w:line="360" w:lineRule="atLeast"/>
        <w:ind w:firstLine="720"/>
        <w:jc w:val="both"/>
        <w:rPr>
          <w:color w:val="002060"/>
        </w:rPr>
      </w:pPr>
      <w:r w:rsidRPr="00AE035D">
        <w:rPr>
          <w:color w:val="002060"/>
        </w:rPr>
        <w:t>- Căn cứ các quy định của Nhà nước về cách tính phí BHTG (loại tiền gửi phải nộp BHTG, kỳ hạn, mức phí,…), dữ liệu do BHTG cung cấp về các tổ chức tham gia BHTG, bảng tính phí của BHTG để KTV xác định việc tính phí BHTG có đầy đủ, chính xác hay không? trên cơ sở dữ liệu do BHTG cung cấp về danh mục thu phí của các tổ chức tham gia BHTG trong năm, KTV thực hiện chọn mẫu để kiểm tra chi tiết đối với nội dung này.</w:t>
      </w:r>
    </w:p>
    <w:p w:rsidR="00562FB8" w:rsidRPr="00AE035D" w:rsidRDefault="00562FB8" w:rsidP="00AE035D">
      <w:pPr>
        <w:spacing w:line="360" w:lineRule="atLeast"/>
        <w:ind w:firstLine="720"/>
        <w:jc w:val="both"/>
        <w:rPr>
          <w:color w:val="002060"/>
        </w:rPr>
      </w:pPr>
      <w:r w:rsidRPr="00AE035D">
        <w:rPr>
          <w:color w:val="002060"/>
        </w:rPr>
        <w:t>- Kiểm tra thời hạn nộp phí có đảm bảo theo quy định không, xác định giữa số phải thu và số đã thu? các biện pháp của BHTG để thực hiện nhằm thu đúng, thu đủ, thu kịp thời tiền phí bảo hiểm. Đối chiếu, kiểm tra giữa số liệu thống kê của Phòng nghiệp vụ với số liệu đang hạch toán của Phòng kế toán để phát hiện sự sai lệch của số liệu, qua đó tìm nguyên nhân và xác định số liệu chính xác;</w:t>
      </w:r>
    </w:p>
    <w:p w:rsidR="00562FB8" w:rsidRPr="00AE035D" w:rsidRDefault="00562FB8" w:rsidP="00AE035D">
      <w:pPr>
        <w:spacing w:line="360" w:lineRule="atLeast"/>
        <w:ind w:firstLine="720"/>
        <w:jc w:val="both"/>
        <w:rPr>
          <w:color w:val="002060"/>
        </w:rPr>
      </w:pPr>
      <w:r w:rsidRPr="00AE035D">
        <w:rPr>
          <w:color w:val="002060"/>
        </w:rPr>
        <w:t xml:space="preserve">- Kiểm tra, đánh giá công tác giám sát và thu phí bảo hiểm. Kế hoạch kiểm tra việc tính và nộp phí đối với các tổ chức tham gia BHTG, việc thực hiện kế hoạch và kết quả của công tác kiểm tra, giám sát của BHTG. </w:t>
      </w:r>
    </w:p>
    <w:p w:rsidR="00562FB8" w:rsidRPr="00AE035D" w:rsidRDefault="00562FB8" w:rsidP="00AE035D">
      <w:pPr>
        <w:spacing w:line="360" w:lineRule="atLeast"/>
        <w:ind w:firstLine="720"/>
        <w:jc w:val="both"/>
        <w:rPr>
          <w:b/>
          <w:color w:val="002060"/>
        </w:rPr>
      </w:pPr>
      <w:r w:rsidRPr="00AE035D">
        <w:rPr>
          <w:b/>
          <w:color w:val="002060"/>
        </w:rPr>
        <w:t>2. Kiểm toán việc hỗ trợ và chi trả bảo hiểm</w:t>
      </w:r>
    </w:p>
    <w:p w:rsidR="00562FB8" w:rsidRPr="00AE035D" w:rsidRDefault="00562FB8" w:rsidP="00AE035D">
      <w:pPr>
        <w:spacing w:line="360" w:lineRule="atLeast"/>
        <w:ind w:firstLine="720"/>
        <w:jc w:val="both"/>
        <w:rPr>
          <w:b/>
          <w:i/>
          <w:color w:val="002060"/>
        </w:rPr>
      </w:pPr>
      <w:r w:rsidRPr="00AE035D">
        <w:rPr>
          <w:b/>
          <w:i/>
          <w:color w:val="002060"/>
        </w:rPr>
        <w:t>2.1 Mục tiêu kiểm toán</w:t>
      </w:r>
    </w:p>
    <w:p w:rsidR="00562FB8" w:rsidRPr="00AE035D" w:rsidRDefault="00562FB8" w:rsidP="00AE035D">
      <w:pPr>
        <w:spacing w:line="360" w:lineRule="atLeast"/>
        <w:ind w:firstLine="720"/>
        <w:jc w:val="both"/>
        <w:rPr>
          <w:color w:val="002060"/>
        </w:rPr>
      </w:pPr>
      <w:r w:rsidRPr="00AE035D">
        <w:rPr>
          <w:color w:val="002060"/>
        </w:rPr>
        <w:t>Đánh giá việc tuân thủ các quy định của Nhà nước về hỗ trợ và chi trả BHTG .</w:t>
      </w:r>
    </w:p>
    <w:p w:rsidR="00562FB8" w:rsidRPr="00AE035D" w:rsidRDefault="00562FB8" w:rsidP="00AE035D">
      <w:pPr>
        <w:spacing w:line="360" w:lineRule="atLeast"/>
        <w:ind w:firstLine="720"/>
        <w:jc w:val="both"/>
        <w:rPr>
          <w:b/>
          <w:i/>
          <w:color w:val="002060"/>
        </w:rPr>
      </w:pPr>
      <w:r w:rsidRPr="00AE035D">
        <w:rPr>
          <w:b/>
          <w:i/>
          <w:color w:val="002060"/>
        </w:rPr>
        <w:t>2.2 Nội dung kiểm toán</w:t>
      </w:r>
    </w:p>
    <w:p w:rsidR="00562FB8" w:rsidRPr="00AE035D" w:rsidRDefault="00562FB8" w:rsidP="00AE035D">
      <w:pPr>
        <w:spacing w:line="360" w:lineRule="atLeast"/>
        <w:ind w:firstLine="720"/>
        <w:jc w:val="both"/>
        <w:rPr>
          <w:color w:val="002060"/>
        </w:rPr>
      </w:pPr>
      <w:r w:rsidRPr="00AE035D">
        <w:rPr>
          <w:color w:val="002060"/>
        </w:rPr>
        <w:t>- Kiểm toán, đánh giá việc chi trả bảo hiểm đối với đối tượng được bảo hiểm.</w:t>
      </w:r>
    </w:p>
    <w:p w:rsidR="00562FB8" w:rsidRPr="00AE035D" w:rsidRDefault="00562FB8" w:rsidP="00AE035D">
      <w:pPr>
        <w:spacing w:line="360" w:lineRule="atLeast"/>
        <w:ind w:firstLine="720"/>
        <w:jc w:val="both"/>
        <w:rPr>
          <w:color w:val="002060"/>
        </w:rPr>
      </w:pPr>
      <w:r w:rsidRPr="00AE035D">
        <w:rPr>
          <w:color w:val="002060"/>
        </w:rPr>
        <w:t>- Kiểm toán, đánh giá việc thu hồi sau thanh lý khi thực hiện chi trả BHTG.</w:t>
      </w:r>
    </w:p>
    <w:p w:rsidR="00562FB8" w:rsidRPr="00AE035D" w:rsidRDefault="00562FB8" w:rsidP="00AE035D">
      <w:pPr>
        <w:spacing w:line="360" w:lineRule="atLeast"/>
        <w:ind w:firstLine="720"/>
        <w:jc w:val="both"/>
        <w:rPr>
          <w:color w:val="002060"/>
        </w:rPr>
      </w:pPr>
      <w:r w:rsidRPr="00AE035D">
        <w:rPr>
          <w:color w:val="002060"/>
        </w:rPr>
        <w:t>- Kiểm toán, đánh giá công tác giám sát hỗ trợ và chi trả tiền BHTG.</w:t>
      </w:r>
    </w:p>
    <w:p w:rsidR="00562FB8" w:rsidRPr="00AE035D" w:rsidRDefault="00562FB8" w:rsidP="00AE035D">
      <w:pPr>
        <w:spacing w:line="360" w:lineRule="atLeast"/>
        <w:ind w:firstLine="720"/>
        <w:jc w:val="both"/>
        <w:rPr>
          <w:b/>
          <w:i/>
          <w:color w:val="002060"/>
        </w:rPr>
      </w:pPr>
      <w:r w:rsidRPr="00AE035D">
        <w:rPr>
          <w:b/>
          <w:i/>
          <w:color w:val="002060"/>
        </w:rPr>
        <w:t>2.3 Phương pháp kiểm toán</w:t>
      </w:r>
      <w:r w:rsidRPr="00AE035D">
        <w:rPr>
          <w:b/>
          <w:i/>
          <w:color w:val="002060"/>
        </w:rPr>
        <w:tab/>
      </w:r>
    </w:p>
    <w:p w:rsidR="00562FB8" w:rsidRPr="00AE035D" w:rsidRDefault="00562FB8" w:rsidP="00AE035D">
      <w:pPr>
        <w:spacing w:line="360" w:lineRule="atLeast"/>
        <w:ind w:firstLine="720"/>
        <w:jc w:val="both"/>
        <w:rPr>
          <w:color w:val="002060"/>
          <w:spacing w:val="-6"/>
        </w:rPr>
      </w:pPr>
      <w:r w:rsidRPr="00AE035D">
        <w:rPr>
          <w:color w:val="002060"/>
          <w:spacing w:val="-6"/>
        </w:rPr>
        <w:t>- Yêu cầu BHTG cung cấp hồ sơ chi trả BHTG (nếu có phát sinh trong niên độ BCTC được kiểm toán), KTV kiểm tra trình tự, thủ tục, tính đầy đủ, tính hợp pháp,… của hồ sơ chi trả BHTG có đúng theo quy định của Nhà nước hay không?</w:t>
      </w:r>
    </w:p>
    <w:p w:rsidR="00562FB8" w:rsidRPr="00AE035D" w:rsidRDefault="00562FB8" w:rsidP="00AE035D">
      <w:pPr>
        <w:spacing w:line="360" w:lineRule="atLeast"/>
        <w:ind w:firstLine="720"/>
        <w:jc w:val="both"/>
        <w:rPr>
          <w:color w:val="002060"/>
        </w:rPr>
      </w:pPr>
      <w:r w:rsidRPr="00AE035D">
        <w:rPr>
          <w:color w:val="002060"/>
        </w:rPr>
        <w:t>- Kiểm tra trên hồ sơ về đối tượng nhận tiền bảo hiểm, đối tượng được bảo hiểm (thuộc phạm vi bảo hiểm), số tiền, thủ tục chi trả tiền bảo hiểm,… có đúng với quy định hiện hành của Nhà nước hay không? hồ sơ gồm: danh sách và số tiền gửi của từng người gửi tiền tại tổ chức tham gia bảo hiểm tiền gửi phải tiến hành chi trả bảo hiểm; danh sách và số tiền của người gửi tiền đề nghị BHTG chi trả bảo hiểm,…; BHTG tiến hành kiểm tra các chứng từ, sổ kế toán để xác định chính xác số tiền chi trả.</w:t>
      </w:r>
    </w:p>
    <w:p w:rsidR="00562FB8" w:rsidRPr="00AE035D" w:rsidRDefault="00562FB8" w:rsidP="00AE035D">
      <w:pPr>
        <w:spacing w:line="360" w:lineRule="atLeast"/>
        <w:ind w:firstLine="720"/>
        <w:jc w:val="both"/>
        <w:rPr>
          <w:color w:val="002060"/>
        </w:rPr>
      </w:pPr>
      <w:r w:rsidRPr="00AE035D">
        <w:rPr>
          <w:color w:val="002060"/>
        </w:rPr>
        <w:t xml:space="preserve">- Bảo hiểm tiền gửi Việt </w:t>
      </w:r>
      <w:smartTag w:uri="urn:schemas-microsoft-com:office:smarttags" w:element="place">
        <w:smartTag w:uri="urn:schemas-microsoft-com:office:smarttags" w:element="country-region">
          <w:r w:rsidRPr="00AE035D">
            <w:rPr>
              <w:color w:val="002060"/>
            </w:rPr>
            <w:t>Nam</w:t>
          </w:r>
        </w:smartTag>
      </w:smartTag>
      <w:r w:rsidRPr="00AE035D">
        <w:rPr>
          <w:color w:val="002060"/>
        </w:rPr>
        <w:t xml:space="preserve"> có phương án chi trả tiền bảo hiểm cho người gửi tiền và thông báo công khai việc chi trả tiền bảo hiểm cho người gửi tiền trên các báo hàng ngày hay không?</w:t>
      </w:r>
    </w:p>
    <w:p w:rsidR="00562FB8" w:rsidRPr="00AE035D" w:rsidRDefault="00562FB8" w:rsidP="00AE035D">
      <w:pPr>
        <w:spacing w:line="360" w:lineRule="atLeast"/>
        <w:ind w:firstLine="720"/>
        <w:jc w:val="both"/>
        <w:rPr>
          <w:color w:val="002060"/>
        </w:rPr>
      </w:pPr>
      <w:r w:rsidRPr="00AE035D">
        <w:rPr>
          <w:color w:val="002060"/>
        </w:rPr>
        <w:t>- Kiểm tra mức tiền chi trả (tối đa mà một người gửi tiền tại một tổ chức tham gia bảo hiểm tiền gửi được BHTG chi trả là 50 triệu đồng gồm cả gốc và lãi - mức chi trả này theo quy định hiện nay).</w:t>
      </w:r>
    </w:p>
    <w:p w:rsidR="00562FB8" w:rsidRPr="00AE035D" w:rsidRDefault="00562FB8" w:rsidP="00AE035D">
      <w:pPr>
        <w:spacing w:line="360" w:lineRule="atLeast"/>
        <w:ind w:firstLine="720"/>
        <w:jc w:val="both"/>
        <w:rPr>
          <w:color w:val="002060"/>
        </w:rPr>
      </w:pPr>
      <w:r w:rsidRPr="00AE035D">
        <w:rPr>
          <w:color w:val="002060"/>
        </w:rPr>
        <w:t>- Người gửi tiền thuộc đối tượng bảo hiểm được nhận tiền bảo hiểm khi đủ các điều kiện sau:</w:t>
      </w:r>
    </w:p>
    <w:p w:rsidR="00562FB8" w:rsidRPr="00AE035D" w:rsidRDefault="00562FB8" w:rsidP="00AE035D">
      <w:pPr>
        <w:spacing w:line="360" w:lineRule="atLeast"/>
        <w:ind w:firstLine="720"/>
        <w:jc w:val="both"/>
        <w:rPr>
          <w:color w:val="002060"/>
        </w:rPr>
      </w:pPr>
      <w:r w:rsidRPr="00AE035D">
        <w:rPr>
          <w:color w:val="002060"/>
        </w:rPr>
        <w:t>+ Có tên trong Danh sách người gửi tiền thuộc đối tượng bảo hiểm được HĐQT BHTG phê duyệt.</w:t>
      </w:r>
    </w:p>
    <w:p w:rsidR="00562FB8" w:rsidRPr="00AE035D" w:rsidRDefault="00562FB8" w:rsidP="00AE035D">
      <w:pPr>
        <w:spacing w:line="360" w:lineRule="atLeast"/>
        <w:ind w:firstLine="720"/>
        <w:jc w:val="both"/>
        <w:rPr>
          <w:color w:val="002060"/>
        </w:rPr>
      </w:pPr>
      <w:r w:rsidRPr="00AE035D">
        <w:rPr>
          <w:color w:val="002060"/>
        </w:rPr>
        <w:t xml:space="preserve">        </w:t>
      </w:r>
      <w:r w:rsidRPr="00AE035D">
        <w:rPr>
          <w:color w:val="002060"/>
        </w:rPr>
        <w:tab/>
        <w:t>+ Có giấy đề nghị kèm các giấy tờ chứng minh quyền sở hữu hợp pháp đối với các khoản tiền gửi của mình tại tổ chức tham gia bảo hiểm tiền gửi cùng với giấy chứng minh nhân dân hoặc hộ chiếu.</w:t>
      </w:r>
    </w:p>
    <w:p w:rsidR="00562FB8" w:rsidRPr="00AE035D" w:rsidRDefault="00562FB8" w:rsidP="00AE035D">
      <w:pPr>
        <w:spacing w:line="360" w:lineRule="atLeast"/>
        <w:ind w:firstLine="720"/>
        <w:jc w:val="both"/>
        <w:rPr>
          <w:color w:val="002060"/>
          <w:lang w:val="en-GB"/>
        </w:rPr>
      </w:pPr>
      <w:r w:rsidRPr="00AE035D">
        <w:rPr>
          <w:color w:val="002060"/>
        </w:rPr>
        <w:t xml:space="preserve">        </w:t>
      </w:r>
      <w:r w:rsidRPr="00AE035D">
        <w:rPr>
          <w:color w:val="002060"/>
        </w:rPr>
        <w:tab/>
        <w:t>+ Khi chi trả tiền bảo hiểm cho người đại diện (người đại diện theo pháp luật hoặc người đại diện theo ủy quyền), người thừa kế của người gửi tiền, người thất lạc phải có các giấy tờ chứng minh quyền sở hữu hợp pháp của mình đối với các khoản tiền gửi được bảo hiểm; người nhận tiền bảo hiểm tiền gửi phải xuất trình đầy đủ các giấy tờ chứng minh quyền nhận tiền bảo hiểm, chứng minh quyền sở hữu hợp pháp đối với số tiền gửi được bảo hiểm, phải xuất trình hộ chiếu; chứng minh nhân dân,… khi nhận tiền.</w:t>
      </w:r>
      <w:r w:rsidRPr="00AE035D">
        <w:rPr>
          <w:color w:val="002060"/>
        </w:rPr>
        <w:cr/>
      </w:r>
      <w:r w:rsidRPr="00AE035D">
        <w:rPr>
          <w:color w:val="002060"/>
        </w:rPr>
        <w:tab/>
        <w:t>- Kiểm tra công tác chi trả bảo hiểm, hồ sơ thủ tục, mức chi trả có đúng chế độ quy định hay không? Đánh giá việc tham gia thanh lý thu hồi nợ.</w:t>
      </w:r>
    </w:p>
    <w:p w:rsidR="00562FB8" w:rsidRPr="00AE035D" w:rsidRDefault="00562FB8" w:rsidP="00AE035D">
      <w:pPr>
        <w:spacing w:line="360" w:lineRule="atLeast"/>
        <w:ind w:firstLine="720"/>
        <w:jc w:val="both"/>
        <w:rPr>
          <w:b/>
          <w:bCs/>
          <w:color w:val="002060"/>
        </w:rPr>
      </w:pPr>
      <w:r w:rsidRPr="00AE035D">
        <w:rPr>
          <w:b/>
          <w:bCs/>
          <w:color w:val="002060"/>
        </w:rPr>
        <w:t xml:space="preserve">3. Kiểm toán các khoản đầu tư </w:t>
      </w:r>
    </w:p>
    <w:p w:rsidR="00562FB8" w:rsidRPr="00AE035D" w:rsidRDefault="00562FB8" w:rsidP="00AE035D">
      <w:pPr>
        <w:spacing w:line="360" w:lineRule="atLeast"/>
        <w:ind w:firstLine="720"/>
        <w:jc w:val="both"/>
        <w:rPr>
          <w:b/>
          <w:bCs/>
          <w:i/>
          <w:color w:val="002060"/>
        </w:rPr>
      </w:pPr>
      <w:r w:rsidRPr="00AE035D">
        <w:rPr>
          <w:b/>
          <w:bCs/>
          <w:i/>
          <w:color w:val="002060"/>
        </w:rPr>
        <w:t xml:space="preserve">3.1. Mục tiêu kiểm toán  </w:t>
      </w:r>
    </w:p>
    <w:p w:rsidR="00562FB8" w:rsidRPr="00AE035D" w:rsidRDefault="00562FB8" w:rsidP="00AE035D">
      <w:pPr>
        <w:spacing w:line="360" w:lineRule="atLeast"/>
        <w:ind w:firstLine="720"/>
        <w:jc w:val="both"/>
        <w:rPr>
          <w:color w:val="002060"/>
        </w:rPr>
      </w:pPr>
      <w:r w:rsidRPr="00AE035D">
        <w:rPr>
          <w:color w:val="002060"/>
        </w:rPr>
        <w:t>Xác định các khoản đầu tư là hiện hữu, thuộc sở hữu của đơn vị và được phản ánh đúng đắn trong BCTC; xác định chính xác giá trị các khoản đầu tư; đánh giá mức độ tuân thủ các quy định và nguyên tắc về đầu tư của đơn vị và cơ quan quản lý cấp trên ban hành.</w:t>
      </w:r>
    </w:p>
    <w:p w:rsidR="00562FB8" w:rsidRPr="00AE035D" w:rsidRDefault="00562FB8" w:rsidP="00AE035D">
      <w:pPr>
        <w:spacing w:line="360" w:lineRule="atLeast"/>
        <w:ind w:firstLine="720"/>
        <w:jc w:val="both"/>
        <w:rPr>
          <w:b/>
          <w:i/>
          <w:color w:val="002060"/>
        </w:rPr>
      </w:pPr>
      <w:r w:rsidRPr="00AE035D">
        <w:rPr>
          <w:b/>
          <w:i/>
          <w:color w:val="002060"/>
        </w:rPr>
        <w:t xml:space="preserve">3.2. Nội dung kiểm toán </w:t>
      </w:r>
    </w:p>
    <w:p w:rsidR="00562FB8" w:rsidRPr="00AE035D" w:rsidRDefault="00562FB8" w:rsidP="00AE035D">
      <w:pPr>
        <w:spacing w:line="360" w:lineRule="atLeast"/>
        <w:ind w:firstLine="720"/>
        <w:jc w:val="both"/>
        <w:rPr>
          <w:color w:val="002060"/>
        </w:rPr>
      </w:pPr>
      <w:r w:rsidRPr="00AE035D">
        <w:rPr>
          <w:color w:val="002060"/>
        </w:rPr>
        <w:t>Các khoản đầu tư gồm: mua trái phiếu Chính phủ, tín phiếu Ngân hàng Nhà nước Việt Nam và gửi tiền tại Ngân hàng Nhà nước Việt Nam</w:t>
      </w:r>
      <w:r w:rsidRPr="00AE035D">
        <w:rPr>
          <w:rFonts w:ascii="Arial" w:hAnsi="Arial" w:cs="Arial"/>
          <w:color w:val="002060"/>
          <w:sz w:val="20"/>
          <w:szCs w:val="20"/>
          <w:lang w:val="vi-VN"/>
        </w:rPr>
        <w:t>.</w:t>
      </w:r>
      <w:r w:rsidRPr="00AE035D" w:rsidDel="005A3D89">
        <w:rPr>
          <w:color w:val="002060"/>
        </w:rPr>
        <w:t xml:space="preserve"> </w:t>
      </w:r>
      <w:r w:rsidRPr="00AE035D">
        <w:rPr>
          <w:color w:val="002060"/>
        </w:rPr>
        <w:t>KTV xác định một số vấn đề sau:</w:t>
      </w:r>
    </w:p>
    <w:p w:rsidR="00562FB8" w:rsidRPr="00AE035D" w:rsidRDefault="00562FB8" w:rsidP="00AE035D">
      <w:pPr>
        <w:spacing w:line="360" w:lineRule="atLeast"/>
        <w:ind w:firstLine="720"/>
        <w:jc w:val="both"/>
        <w:rPr>
          <w:color w:val="002060"/>
        </w:rPr>
      </w:pPr>
      <w:r w:rsidRPr="00AE035D">
        <w:rPr>
          <w:color w:val="002060"/>
        </w:rPr>
        <w:t xml:space="preserve">- Kiểm toán, đánh giá  các khoản đầu tư cũng như các khoản thu nhập phát sinh từ hoạt động đầu tư vốn được theo dõi, tính toán, hạch toán và phản ánh đầy đủ, chính xác và kịp thời trên BCTC theo quy định hiện hành; </w:t>
      </w:r>
    </w:p>
    <w:p w:rsidR="00562FB8" w:rsidRPr="00AE035D" w:rsidRDefault="00562FB8" w:rsidP="00AE035D">
      <w:pPr>
        <w:spacing w:line="360" w:lineRule="atLeast"/>
        <w:ind w:firstLine="720"/>
        <w:jc w:val="both"/>
        <w:rPr>
          <w:color w:val="002060"/>
        </w:rPr>
      </w:pPr>
      <w:r w:rsidRPr="00AE035D">
        <w:rPr>
          <w:color w:val="002060"/>
        </w:rPr>
        <w:t>- Kiểm toán, đánh giá  việcchấp hành các qui định của Nhà nước liên quan đến nghiệp vụ đầu tư; các khoản đầu tư có sự phê duyệt của HĐQT hoặc người được HĐQT ủy quyền hoặc cấp có thẩm quyền;</w:t>
      </w:r>
    </w:p>
    <w:p w:rsidR="00562FB8" w:rsidRPr="00AE035D" w:rsidRDefault="00562FB8" w:rsidP="00AE035D">
      <w:pPr>
        <w:spacing w:line="360" w:lineRule="atLeast"/>
        <w:ind w:firstLine="720"/>
        <w:jc w:val="both"/>
        <w:rPr>
          <w:color w:val="002060"/>
        </w:rPr>
      </w:pPr>
      <w:r w:rsidRPr="00AE035D">
        <w:rPr>
          <w:color w:val="002060"/>
        </w:rPr>
        <w:t>- Đánh giá công tác đầu tư vốn nhàn rỗi có hiệu quả và đảm bảo được mục tiêu an toàn và bảo toàn vốn.</w:t>
      </w:r>
    </w:p>
    <w:p w:rsidR="00562FB8" w:rsidRPr="00AE035D" w:rsidRDefault="00562FB8" w:rsidP="00AE035D">
      <w:pPr>
        <w:spacing w:line="360" w:lineRule="atLeast"/>
        <w:ind w:firstLine="720"/>
        <w:jc w:val="both"/>
        <w:rPr>
          <w:b/>
          <w:color w:val="002060"/>
        </w:rPr>
      </w:pPr>
      <w:r w:rsidRPr="00AE035D">
        <w:rPr>
          <w:b/>
          <w:color w:val="002060"/>
        </w:rPr>
        <w:t>3.3. Phương pháp kiểm toán</w:t>
      </w:r>
    </w:p>
    <w:p w:rsidR="00562FB8" w:rsidRPr="00AE035D" w:rsidRDefault="00562FB8" w:rsidP="00AE035D">
      <w:pPr>
        <w:spacing w:line="360" w:lineRule="atLeast"/>
        <w:ind w:firstLine="720"/>
        <w:jc w:val="both"/>
        <w:rPr>
          <w:color w:val="002060"/>
        </w:rPr>
      </w:pPr>
      <w:r w:rsidRPr="00AE035D">
        <w:rPr>
          <w:color w:val="002060"/>
        </w:rPr>
        <w:t xml:space="preserve">- Kiểm toán các khoán đầu tư (vốn gốc): KTV yêu cầu BHTG cung cấp bảng sao kê dư nợ, danh mục đối với các khoản đầu tư ; tiến hành kiểm tra, đối chiếu với số liệu trên sổ kế toán, chứng từ gốc và các giấy báo Nợ, báo Có của ngân hàng và các tổ chức khác. Qua đó xác định các khoản đầu tư đã được theo dõi, hạch toán và phản ánh đầy đủ, chính xác và kịp thời trên BCTC.  </w:t>
      </w:r>
    </w:p>
    <w:p w:rsidR="00562FB8" w:rsidRPr="00AE035D" w:rsidRDefault="00562FB8" w:rsidP="00AE035D">
      <w:pPr>
        <w:spacing w:line="360" w:lineRule="atLeast"/>
        <w:ind w:firstLine="720"/>
        <w:jc w:val="both"/>
        <w:rPr>
          <w:color w:val="002060"/>
        </w:rPr>
      </w:pPr>
      <w:r w:rsidRPr="00AE035D">
        <w:rPr>
          <w:color w:val="002060"/>
        </w:rPr>
        <w:t xml:space="preserve">- Kiểm toán các khoản thu nhập phát sinh từ các khoản đầu tư: </w:t>
      </w:r>
    </w:p>
    <w:p w:rsidR="00562FB8" w:rsidRPr="00AE035D" w:rsidRDefault="00562FB8" w:rsidP="00AE035D">
      <w:pPr>
        <w:spacing w:line="360" w:lineRule="atLeast"/>
        <w:ind w:firstLine="720"/>
        <w:jc w:val="both"/>
        <w:rPr>
          <w:color w:val="002060"/>
        </w:rPr>
      </w:pPr>
      <w:r w:rsidRPr="00AE035D">
        <w:rPr>
          <w:color w:val="002060"/>
        </w:rPr>
        <w:t>+ Các khoản lãi đã thu:</w:t>
      </w:r>
    </w:p>
    <w:p w:rsidR="00562FB8" w:rsidRPr="00AE035D" w:rsidRDefault="00562FB8" w:rsidP="00AE035D">
      <w:pPr>
        <w:spacing w:line="360" w:lineRule="atLeast"/>
        <w:ind w:firstLine="720"/>
        <w:jc w:val="both"/>
        <w:rPr>
          <w:color w:val="002060"/>
        </w:rPr>
      </w:pPr>
      <w:r w:rsidRPr="00AE035D">
        <w:rPr>
          <w:color w:val="002060"/>
        </w:rPr>
        <w:t>Đối với các khoản lãi phát sinh từ các khoản đầu tư như: mua trái phiếu, công trái,… căn cứ giấy chứng nhận quyền sở hữu trái phiếu, công trái,… để xác định số tiền được thanh toán (tiền lãi) trong kỳ báo cáo (niên độ BCTC được kiểm toán) để kiểm tra, tính toán, đối chiếu với số liệu đã hạch toán (thông thường các công cụ nợ như trái phiếu, công trái,… đều được phân kỳ thanh toán tiền lãi cho các trái chủ);</w:t>
      </w:r>
    </w:p>
    <w:p w:rsidR="00562FB8" w:rsidRPr="00AE035D" w:rsidRDefault="00562FB8" w:rsidP="00AE035D">
      <w:pPr>
        <w:spacing w:line="360" w:lineRule="atLeast"/>
        <w:ind w:firstLine="720"/>
        <w:jc w:val="both"/>
        <w:rPr>
          <w:color w:val="002060"/>
        </w:rPr>
      </w:pPr>
      <w:r w:rsidRPr="00AE035D">
        <w:rPr>
          <w:color w:val="002060"/>
        </w:rPr>
        <w:t>+ Các khoản lãi phải thu nhưng chưa thu được, lãi dự thu:</w:t>
      </w:r>
    </w:p>
    <w:p w:rsidR="00562FB8" w:rsidRPr="00AE035D" w:rsidRDefault="00562FB8" w:rsidP="00AE035D">
      <w:pPr>
        <w:spacing w:line="360" w:lineRule="atLeast"/>
        <w:ind w:firstLine="720"/>
        <w:jc w:val="both"/>
        <w:rPr>
          <w:color w:val="002060"/>
        </w:rPr>
      </w:pPr>
      <w:r w:rsidRPr="00AE035D">
        <w:rPr>
          <w:color w:val="002060"/>
        </w:rPr>
        <w:t>i/ Các khoản lãi phải thu nhưng chưa thu được: kiểm tra, đối chiếu, tính toán các khoản lãi phát sinh thông qua các khoản đầu tư (lãi phải thu phát sinh = lãi đã thu + lãi chưa thu được); đồng thời kiểm tra và đối chiếu với số liệu chi tiết trên tài khoản công nợ phải thu đến 31/12; kiểm tra phân loại tuổi nợ của các khoản lãi, khả năng thu hồi;</w:t>
      </w:r>
    </w:p>
    <w:p w:rsidR="00562FB8" w:rsidRPr="00AE035D" w:rsidRDefault="00562FB8" w:rsidP="00AE035D">
      <w:pPr>
        <w:spacing w:line="360" w:lineRule="atLeast"/>
        <w:ind w:firstLine="720"/>
        <w:jc w:val="both"/>
        <w:rPr>
          <w:color w:val="002060"/>
        </w:rPr>
      </w:pPr>
      <w:r w:rsidRPr="00AE035D">
        <w:rPr>
          <w:color w:val="002060"/>
        </w:rPr>
        <w:t xml:space="preserve">ii/ Các khoản lãi dự thu: lãi dự thu có thể không được phản ánh đầy đủ và chính xác, như sau: không dự thu hoặc dự thu không đầy đủ các khoản đầu tư (nhất là các khoản đầu tư như trái phiếu kho bạc, công trái, hợp đồng tiền gửi…KTV cần yêu cầu cung cấp liệt kê chi tiết các khoản dự thu tại ngày 31/12. Thực hiện việc đối chiếu chi tiết giữa các khoản như trái phiếu, công trái, tiền gửi với sao kê chi tiết  ... nếu có chênh lệch cần tìm rõ nguyên nhân. </w:t>
      </w:r>
    </w:p>
    <w:p w:rsidR="00562FB8" w:rsidRPr="00AE035D" w:rsidRDefault="00562FB8" w:rsidP="00AE035D">
      <w:pPr>
        <w:spacing w:line="360" w:lineRule="atLeast"/>
        <w:ind w:firstLine="720"/>
        <w:jc w:val="both"/>
        <w:rPr>
          <w:color w:val="002060"/>
        </w:rPr>
      </w:pPr>
      <w:r w:rsidRPr="00AE035D">
        <w:rPr>
          <w:color w:val="002060"/>
        </w:rPr>
        <w:t xml:space="preserve">- Kiểm tra việc chấp hành các qui định của Nhà nước và BHTG liên quan đến nghiệp vụ đầu tư; kiểm tra tính an toàn của các khoản đầu tư theo quy chế đầu tư của BHTG đã được cấp có thẩm quyền phê duyệt. </w:t>
      </w:r>
    </w:p>
    <w:p w:rsidR="00562FB8" w:rsidRPr="00AE035D" w:rsidRDefault="00562FB8" w:rsidP="00AE035D">
      <w:pPr>
        <w:spacing w:line="360" w:lineRule="atLeast"/>
        <w:ind w:firstLine="720"/>
        <w:jc w:val="both"/>
        <w:rPr>
          <w:color w:val="002060"/>
        </w:rPr>
      </w:pPr>
      <w:r w:rsidRPr="00AE035D">
        <w:rPr>
          <w:color w:val="002060"/>
        </w:rPr>
        <w:tab/>
        <w:t>- Đánh giá hiệu quả đầu tư vốn tạm thời nhàn rỗi:</w:t>
      </w:r>
    </w:p>
    <w:p w:rsidR="00562FB8" w:rsidRPr="00AE035D" w:rsidRDefault="00562FB8" w:rsidP="00AE035D">
      <w:pPr>
        <w:spacing w:line="360" w:lineRule="atLeast"/>
        <w:ind w:firstLine="720"/>
        <w:jc w:val="both"/>
        <w:rPr>
          <w:color w:val="002060"/>
        </w:rPr>
      </w:pPr>
      <w:r w:rsidRPr="00AE035D">
        <w:rPr>
          <w:color w:val="002060"/>
        </w:rPr>
        <w:t xml:space="preserve">+ Thông qua việc kiểm tra số dư trên các tài khoản tiền gửi thanh toán tại các TCTD mà BHTG mở để giao dịch thu phí (tài khoản tiền gửi không kỳ hạn) tại các thời điểm có số dư lớn để đánh giá tính hiệu quả trong việc quản lý và sử dụng nguồn vốn tạm thời nhàn rỗi để thực hiện nghiệp vụ đầu tư (lưu ý: loại trừ số tiền cần thiết cho công tác đảm bảo an toàn chi trả và chi quản lý cho hoạt động thường xuyên của BHTG), qua đó đánh giá công tác quản trị dòng tiền của BHTG tốt hay không tốt, hiệu quả hay lãng phí? </w:t>
      </w:r>
    </w:p>
    <w:p w:rsidR="00562FB8" w:rsidRPr="00AE035D" w:rsidRDefault="00562FB8" w:rsidP="00AE035D">
      <w:pPr>
        <w:spacing w:line="360" w:lineRule="atLeast"/>
        <w:ind w:firstLine="720"/>
        <w:jc w:val="both"/>
        <w:rPr>
          <w:color w:val="002060"/>
        </w:rPr>
      </w:pPr>
      <w:r w:rsidRPr="00AE035D">
        <w:rPr>
          <w:color w:val="002060"/>
        </w:rPr>
        <w:t>+ Thông qua số thu về hoạt động đầu tư trong năm trên số nguồn vốn nhàn rỗi (tiền gốc) qua các năm để so sánh nhằm đánh giá sự tăng trưởng quỹ và tính hiệu quả trong công tác đầu tư vốn của BHTG.</w:t>
      </w:r>
    </w:p>
    <w:p w:rsidR="000B75AB" w:rsidRPr="00AE035D" w:rsidRDefault="000B75AB" w:rsidP="00AE035D">
      <w:pPr>
        <w:spacing w:line="360" w:lineRule="atLeast"/>
        <w:rPr>
          <w:color w:val="002060"/>
        </w:rPr>
      </w:pPr>
    </w:p>
    <w:sectPr w:rsidR="000B75AB" w:rsidRPr="00AE035D" w:rsidSect="00AE035D">
      <w:footerReference w:type="default" r:id="rId7"/>
      <w:pgSz w:w="12240" w:h="15840"/>
      <w:pgMar w:top="1080" w:right="108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FEC" w:rsidRDefault="00BD4FEC" w:rsidP="0075228F">
      <w:r>
        <w:separator/>
      </w:r>
    </w:p>
  </w:endnote>
  <w:endnote w:type="continuationSeparator" w:id="0">
    <w:p w:rsidR="00BD4FEC" w:rsidRDefault="00BD4FEC" w:rsidP="0075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587609"/>
      <w:docPartObj>
        <w:docPartGallery w:val="Page Numbers (Bottom of Page)"/>
        <w:docPartUnique/>
      </w:docPartObj>
    </w:sdtPr>
    <w:sdtEndPr>
      <w:rPr>
        <w:noProof/>
      </w:rPr>
    </w:sdtEndPr>
    <w:sdtContent>
      <w:p w:rsidR="0075228F" w:rsidRDefault="0075228F">
        <w:pPr>
          <w:pStyle w:val="Footer"/>
          <w:jc w:val="center"/>
        </w:pPr>
        <w:r>
          <w:fldChar w:fldCharType="begin"/>
        </w:r>
        <w:r>
          <w:instrText xml:space="preserve"> PAGE   \* MERGEFORMAT </w:instrText>
        </w:r>
        <w:r>
          <w:fldChar w:fldCharType="separate"/>
        </w:r>
        <w:r w:rsidR="00BD4FEC">
          <w:rPr>
            <w:noProof/>
          </w:rPr>
          <w:t>1</w:t>
        </w:r>
        <w:r>
          <w:rPr>
            <w:noProof/>
          </w:rPr>
          <w:fldChar w:fldCharType="end"/>
        </w:r>
      </w:p>
    </w:sdtContent>
  </w:sdt>
  <w:p w:rsidR="0075228F" w:rsidRDefault="007522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FEC" w:rsidRDefault="00BD4FEC" w:rsidP="0075228F">
      <w:r>
        <w:separator/>
      </w:r>
    </w:p>
  </w:footnote>
  <w:footnote w:type="continuationSeparator" w:id="0">
    <w:p w:rsidR="00BD4FEC" w:rsidRDefault="00BD4FEC" w:rsidP="007522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FB8"/>
    <w:rsid w:val="000B75AB"/>
    <w:rsid w:val="00562FB8"/>
    <w:rsid w:val="0075228F"/>
    <w:rsid w:val="00A43DC6"/>
    <w:rsid w:val="00AE035D"/>
    <w:rsid w:val="00B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FB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28F"/>
    <w:pPr>
      <w:tabs>
        <w:tab w:val="center" w:pos="4680"/>
        <w:tab w:val="right" w:pos="9360"/>
      </w:tabs>
    </w:pPr>
  </w:style>
  <w:style w:type="character" w:customStyle="1" w:styleId="HeaderChar">
    <w:name w:val="Header Char"/>
    <w:basedOn w:val="DefaultParagraphFont"/>
    <w:link w:val="Header"/>
    <w:uiPriority w:val="99"/>
    <w:rsid w:val="0075228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5228F"/>
    <w:pPr>
      <w:tabs>
        <w:tab w:val="center" w:pos="4680"/>
        <w:tab w:val="right" w:pos="9360"/>
      </w:tabs>
    </w:pPr>
  </w:style>
  <w:style w:type="character" w:customStyle="1" w:styleId="FooterChar">
    <w:name w:val="Footer Char"/>
    <w:basedOn w:val="DefaultParagraphFont"/>
    <w:link w:val="Footer"/>
    <w:uiPriority w:val="99"/>
    <w:rsid w:val="0075228F"/>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FB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28F"/>
    <w:pPr>
      <w:tabs>
        <w:tab w:val="center" w:pos="4680"/>
        <w:tab w:val="right" w:pos="9360"/>
      </w:tabs>
    </w:pPr>
  </w:style>
  <w:style w:type="character" w:customStyle="1" w:styleId="HeaderChar">
    <w:name w:val="Header Char"/>
    <w:basedOn w:val="DefaultParagraphFont"/>
    <w:link w:val="Header"/>
    <w:uiPriority w:val="99"/>
    <w:rsid w:val="0075228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5228F"/>
    <w:pPr>
      <w:tabs>
        <w:tab w:val="center" w:pos="4680"/>
        <w:tab w:val="right" w:pos="9360"/>
      </w:tabs>
    </w:pPr>
  </w:style>
  <w:style w:type="character" w:customStyle="1" w:styleId="FooterChar">
    <w:name w:val="Footer Char"/>
    <w:basedOn w:val="DefaultParagraphFont"/>
    <w:link w:val="Footer"/>
    <w:uiPriority w:val="99"/>
    <w:rsid w:val="0075228F"/>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1402</Words>
  <Characters>7998</Characters>
  <Application>Microsoft Office Word</Application>
  <DocSecurity>0</DocSecurity>
  <Lines>66</Lines>
  <Paragraphs>18</Paragraphs>
  <ScaleCrop>false</ScaleCrop>
  <Company/>
  <LinksUpToDate>false</LinksUpToDate>
  <CharactersWithSpaces>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2017-01-04T01:52:00Z</dcterms:created>
  <dcterms:modified xsi:type="dcterms:W3CDTF">2017-01-04T02:18:00Z</dcterms:modified>
</cp:coreProperties>
</file>